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rFonts w:ascii="楷体" w:hAnsi="楷体" w:eastAsia="楷体"/>
                <w:sz w:val="24"/>
                <w:szCs w:val="24"/>
              </w:rPr>
            </w:pPr>
            <w:r>
              <w:rPr>
                <w:rFonts w:hint="eastAsia" w:ascii="楷体" w:hAnsi="楷体" w:eastAsia="楷体"/>
                <w:sz w:val="24"/>
                <w:szCs w:val="24"/>
              </w:rPr>
              <w:t>肖辉</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 w:val="24"/>
                <w:szCs w:val="24"/>
              </w:rPr>
            </w:pPr>
            <w:r>
              <w:rPr>
                <w:rFonts w:hint="eastAsia" w:ascii="楷体" w:hAnsi="楷体" w:eastAsia="楷体"/>
                <w:sz w:val="24"/>
                <w:szCs w:val="24"/>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rFonts w:hint="eastAsia"/>
                <w:sz w:val="24"/>
                <w:szCs w:val="24"/>
              </w:rPr>
            </w:pPr>
            <w:r>
              <w:rPr>
                <w:sz w:val="24"/>
                <w:szCs w:val="24"/>
              </w:rPr>
              <w:t>国家自然科学基金</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sz w:val="24"/>
                <w:szCs w:val="24"/>
              </w:rPr>
            </w:pPr>
            <w:r>
              <w:rPr>
                <w:rFonts w:hint="eastAsia"/>
                <w:sz w:val="24"/>
                <w:szCs w:val="24"/>
              </w:rPr>
              <w:t>基于可靠性的最优防御策略研究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sz w:val="24"/>
                <w:szCs w:val="24"/>
              </w:rPr>
            </w:pPr>
            <w:r>
              <w:rPr>
                <w:sz w:val="24"/>
                <w:szCs w:val="24"/>
              </w:rPr>
              <w:t>71971176</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sz w:val="24"/>
                <w:szCs w:val="24"/>
              </w:rPr>
            </w:pPr>
            <w:r>
              <w:rPr>
                <w:rFonts w:hint="eastAsia"/>
                <w:sz w:val="24"/>
                <w:szCs w:val="24"/>
              </w:rPr>
              <w:t>风险管理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ind w:firstLine="480" w:firstLineChars="200"/>
              <w:rPr>
                <w:rFonts w:ascii="楷体" w:hAnsi="楷体" w:eastAsia="楷体"/>
                <w:sz w:val="24"/>
                <w:szCs w:val="24"/>
              </w:rPr>
            </w:pPr>
            <w:r>
              <w:rPr>
                <w:rFonts w:hint="eastAsia" w:ascii="楷体" w:hAnsi="楷体" w:eastAsia="楷体"/>
                <w:sz w:val="24"/>
                <w:szCs w:val="24"/>
              </w:rPr>
              <w:t>近年来频繁发生的金融交易所被黑客非法入侵事件，表明金融交易系统的安全性受到了巨大的威胁。而金融交易系统一旦被非法入侵，不仅仅会丢失大量的机密交易数据，还会引起巨大的经济损失。基于这一现实问题，本项目将探索如何提高金融交易系统的安全性，以防御黑客的非法入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rFonts w:ascii="楷体" w:hAnsi="楷体" w:eastAsia="楷体"/>
                <w:sz w:val="24"/>
                <w:szCs w:val="24"/>
              </w:rPr>
            </w:pPr>
            <w:r>
              <w:rPr>
                <w:rFonts w:hint="eastAsia" w:ascii="楷体" w:hAnsi="楷体" w:eastAsia="楷体"/>
                <w:sz w:val="24"/>
                <w:szCs w:val="24"/>
              </w:rPr>
              <w:t>金融交易系统防御建模与优化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sz w:val="24"/>
                <w:szCs w:val="24"/>
              </w:rPr>
            </w:pPr>
            <w:r>
              <w:rPr>
                <w:rFonts w:hint="eastAsia"/>
                <w:sz w:val="24"/>
                <w:szCs w:val="24"/>
              </w:rPr>
              <w:t>（对申报项目学生的科研素养及专业要求等）</w:t>
            </w:r>
          </w:p>
          <w:p>
            <w:pPr>
              <w:pStyle w:val="9"/>
              <w:numPr>
                <w:ilvl w:val="0"/>
                <w:numId w:val="1"/>
              </w:numPr>
              <w:ind w:firstLineChars="0"/>
              <w:rPr>
                <w:rFonts w:ascii="楷体" w:hAnsi="楷体" w:eastAsia="楷体"/>
                <w:sz w:val="24"/>
                <w:szCs w:val="24"/>
              </w:rPr>
            </w:pPr>
            <w:r>
              <w:rPr>
                <w:rFonts w:hint="eastAsia" w:ascii="楷体" w:hAnsi="楷体" w:eastAsia="楷体"/>
                <w:sz w:val="24"/>
                <w:szCs w:val="24"/>
              </w:rPr>
              <w:t>具有基本的数学建模和编程基础。</w:t>
            </w:r>
          </w:p>
          <w:p>
            <w:pPr>
              <w:pStyle w:val="9"/>
              <w:numPr>
                <w:ilvl w:val="0"/>
                <w:numId w:val="1"/>
              </w:numPr>
              <w:ind w:firstLineChars="0"/>
              <w:rPr>
                <w:rFonts w:ascii="楷体" w:hAnsi="楷体" w:eastAsia="楷体"/>
                <w:sz w:val="24"/>
                <w:szCs w:val="24"/>
              </w:rPr>
            </w:pPr>
            <w:r>
              <w:rPr>
                <w:rFonts w:ascii="楷体" w:hAnsi="楷体" w:eastAsia="楷体"/>
                <w:sz w:val="24"/>
                <w:szCs w:val="24"/>
              </w:rPr>
              <w:t>熟悉博弈论相关知识</w:t>
            </w:r>
            <w:r>
              <w:rPr>
                <w:rFonts w:hint="eastAsia" w:ascii="楷体" w:hAnsi="楷体" w:eastAsia="楷体"/>
                <w:sz w:val="24"/>
                <w:szCs w:val="24"/>
              </w:rPr>
              <w:t>。</w:t>
            </w:r>
          </w:p>
          <w:p>
            <w:pPr>
              <w:pStyle w:val="9"/>
              <w:numPr>
                <w:ilvl w:val="0"/>
                <w:numId w:val="1"/>
              </w:numPr>
              <w:ind w:firstLineChars="0"/>
              <w:rPr>
                <w:rFonts w:hint="eastAsia"/>
                <w:sz w:val="24"/>
                <w:szCs w:val="24"/>
              </w:rPr>
            </w:pPr>
            <w:r>
              <w:rPr>
                <w:rFonts w:ascii="楷体" w:hAnsi="楷体" w:eastAsia="楷体"/>
                <w:sz w:val="24"/>
                <w:szCs w:val="24"/>
              </w:rPr>
              <w:t>统计</w:t>
            </w:r>
            <w:r>
              <w:rPr>
                <w:rFonts w:hint="eastAsia" w:ascii="楷体" w:hAnsi="楷体" w:eastAsia="楷体"/>
                <w:sz w:val="24"/>
                <w:szCs w:val="24"/>
              </w:rPr>
              <w:t>、</w:t>
            </w:r>
            <w:r>
              <w:rPr>
                <w:rFonts w:ascii="楷体" w:hAnsi="楷体" w:eastAsia="楷体"/>
                <w:sz w:val="24"/>
                <w:szCs w:val="24"/>
              </w:rPr>
              <w:t>数学</w:t>
            </w:r>
            <w:r>
              <w:rPr>
                <w:rFonts w:hint="eastAsia" w:ascii="楷体" w:hAnsi="楷体" w:eastAsia="楷体"/>
                <w:sz w:val="24"/>
                <w:szCs w:val="24"/>
              </w:rPr>
              <w:t>、信息学院专业优先，1-</w:t>
            </w:r>
            <w:r>
              <w:rPr>
                <w:rFonts w:ascii="楷体" w:hAnsi="楷体" w:eastAsia="楷体"/>
                <w:sz w:val="24"/>
                <w:szCs w:val="24"/>
              </w:rPr>
              <w:t>2人为佳</w:t>
            </w:r>
            <w:r>
              <w:rPr>
                <w:rFonts w:hint="eastAsia" w:ascii="楷体" w:hAnsi="楷体" w:eastAsia="楷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sz w:val="24"/>
                <w:szCs w:val="24"/>
              </w:rPr>
            </w:pPr>
            <w:r>
              <w:rPr>
                <w:rFonts w:hint="eastAsia"/>
                <w:sz w:val="24"/>
                <w:szCs w:val="24"/>
              </w:rPr>
              <w:t>（拟设项目研究内容、实施过程及成效要求；1000字以内）</w:t>
            </w:r>
          </w:p>
          <w:p>
            <w:pPr>
              <w:ind w:firstLine="480" w:firstLineChars="200"/>
              <w:rPr>
                <w:rFonts w:ascii="楷体" w:hAnsi="楷体" w:eastAsia="楷体"/>
                <w:sz w:val="24"/>
                <w:szCs w:val="24"/>
              </w:rPr>
            </w:pPr>
            <w:r>
              <w:rPr>
                <w:rFonts w:hint="eastAsia" w:ascii="楷体" w:hAnsi="楷体" w:eastAsia="楷体"/>
                <w:sz w:val="24"/>
                <w:szCs w:val="24"/>
              </w:rPr>
              <w:t>现代通信技术极大地缩短了人与人之间的时空距离，它也使得金融交易不再受时空的限制，可以连续24小时无间断地在全球范围内进行。信息传播和处理的快速化与智能化一方面使得金融交易量迅速增长，另一方面也使得金融交易系统所处的外部环境变得更加复杂和不确定。而一旦金融交易系统的安全性受到威胁，不仅会导致机密的交易信息和敏感信息被窃取，还会带来巨大的经济损失。例如，2010年，纳斯达克证券交易所的中央服务器遭受黑客的非法入侵，导致敏感信息泄露，美国国家安全局认为黑客的非法入侵不仅仅能够破坏交易，甚至可以破坏整个纳斯达克证券交易所。2018年，韩国最大的虚拟货币交易所Bithumb被黑客非法入侵，高达350亿韩元的虚拟货币遭黑客窃取；同一年，韩国中小型交易平台Coinrail也遭到黑客非法入侵，损失了约400亿韩元。以上事件表明，如果不能保证金融交易系统的安全，则极有可能会引起巨大的经济损失，因此，探索如何提高金融交易系统的安全性，防御系统遭受黑客的非法入侵至关重要。</w:t>
            </w:r>
          </w:p>
          <w:p>
            <w:pPr>
              <w:ind w:firstLine="480" w:firstLineChars="200"/>
              <w:rPr>
                <w:rFonts w:ascii="楷体" w:hAnsi="楷体" w:eastAsia="楷体"/>
                <w:sz w:val="24"/>
                <w:szCs w:val="24"/>
              </w:rPr>
            </w:pPr>
            <w:r>
              <w:rPr>
                <w:rFonts w:hint="eastAsia" w:ascii="楷体" w:hAnsi="楷体" w:eastAsia="楷体"/>
                <w:sz w:val="24"/>
                <w:szCs w:val="24"/>
              </w:rPr>
              <w:t>现有的金融交易系统主要通过设置工业防火墙和布置蜜罐来防御黑客的非法入侵。工业防火墙增加了黑客非法入侵系统的难度，而一旦黑客成功入侵，系统中布置的蜜罐也可以进一步诱导和捕获黑客，从而保护金融交易系统中真实服务器的安全性。目前，黑客开发了一种被称为“蜜罐猎人”的反蜜罐措施，虽然可以帮助黑客以一定的概率识别出系统中布置的一些蜜罐，但尚且存在“误报”和“漏报”的情况。具体来说，当黑客打探到系统中布置的真实服务器时，它将以一定的概率识将其识别为真实服务器，一定的概率将其识别为蜜罐，一定的概率无法识别；同样地，当黑客打探到系统中布置的蜜罐时，它将以一定的概率将其识别为蜜罐，一定的概率将其识别为真实服务器，一定的概率无法识别。本项目将针对系统遭受黑客的非法入侵且存在“误报”和“漏报”的这一现实情形进行深入研究，探索防御者如何进行系统防御以提高系统的安全性。</w:t>
            </w:r>
          </w:p>
          <w:p>
            <w:pPr>
              <w:ind w:firstLine="480" w:firstLineChars="200"/>
              <w:rPr>
                <w:sz w:val="24"/>
                <w:szCs w:val="24"/>
              </w:rPr>
            </w:pPr>
            <w:r>
              <w:rPr>
                <w:rFonts w:hint="eastAsia" w:ascii="楷体" w:hAnsi="楷体" w:eastAsia="楷体"/>
                <w:sz w:val="24"/>
                <w:szCs w:val="24"/>
              </w:rPr>
              <w:t>本课题拟以金融交易系统为研究对象，深入研究存在“误报”和“漏报”这种复杂情形下的系统防御问题。拟构建存在“误报”和“漏报”的不完全信息攻防博弈模型，探索该情形下的防御措施，运用概率论，博弈模型等分析防御者的最优防御策略，为提高金融交易系统的安全性提供有效的支撑与保障，为防御者的决策提供科学依据。研究成果拟发表外B或外A论文一篇。</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方正小标宋简体">
    <w:altName w:val="Malgun Gothic Semilight"/>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60182A"/>
    <w:multiLevelType w:val="multilevel"/>
    <w:tmpl w:val="6F60182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0A141E"/>
    <w:rsid w:val="0016709A"/>
    <w:rsid w:val="00173F33"/>
    <w:rsid w:val="00215A98"/>
    <w:rsid w:val="002A0BC0"/>
    <w:rsid w:val="002E2086"/>
    <w:rsid w:val="002F0578"/>
    <w:rsid w:val="0031502C"/>
    <w:rsid w:val="00427721"/>
    <w:rsid w:val="00440996"/>
    <w:rsid w:val="00495711"/>
    <w:rsid w:val="00583EDB"/>
    <w:rsid w:val="005B7668"/>
    <w:rsid w:val="005E6263"/>
    <w:rsid w:val="005F0F23"/>
    <w:rsid w:val="00601CA2"/>
    <w:rsid w:val="006139D5"/>
    <w:rsid w:val="00754CDA"/>
    <w:rsid w:val="00792599"/>
    <w:rsid w:val="00885C25"/>
    <w:rsid w:val="008F5D73"/>
    <w:rsid w:val="009116FA"/>
    <w:rsid w:val="00A3583E"/>
    <w:rsid w:val="00A60F15"/>
    <w:rsid w:val="00AE5F27"/>
    <w:rsid w:val="00B95896"/>
    <w:rsid w:val="00BD1A5B"/>
    <w:rsid w:val="00BF0494"/>
    <w:rsid w:val="00D769C4"/>
    <w:rsid w:val="00DB466B"/>
    <w:rsid w:val="00DE597E"/>
    <w:rsid w:val="00DF3291"/>
    <w:rsid w:val="00EB7385"/>
    <w:rsid w:val="00EE4F97"/>
    <w:rsid w:val="00F60F14"/>
    <w:rsid w:val="06825E37"/>
    <w:rsid w:val="0D0C1773"/>
    <w:rsid w:val="0E6B4B00"/>
    <w:rsid w:val="16960943"/>
    <w:rsid w:val="22F3444D"/>
    <w:rsid w:val="2C214791"/>
    <w:rsid w:val="319262CF"/>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kern w:val="2"/>
      <w:sz w:val="18"/>
      <w:szCs w:val="18"/>
      <w:lang w:bidi="ar-SA"/>
    </w:rPr>
  </w:style>
  <w:style w:type="character" w:customStyle="1" w:styleId="8">
    <w:name w:val="页脚 Char"/>
    <w:basedOn w:val="6"/>
    <w:link w:val="2"/>
    <w:qFormat/>
    <w:uiPriority w:val="99"/>
    <w:rPr>
      <w:kern w:val="2"/>
      <w:sz w:val="18"/>
      <w:szCs w:val="18"/>
      <w:lang w:bidi="ar-SA"/>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2</Pages>
  <Words>217</Words>
  <Characters>1243</Characters>
  <Lines>10</Lines>
  <Paragraphs>2</Paragraphs>
  <TotalTime>58</TotalTime>
  <ScaleCrop>false</ScaleCrop>
  <LinksUpToDate>false</LinksUpToDate>
  <CharactersWithSpaces>1458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2021-03-26T06:54:38Z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